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F7" w:rsidRPr="0011324C" w:rsidRDefault="00DD5AF7" w:rsidP="005C2B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C">
        <w:rPr>
          <w:rFonts w:ascii="Times New Roman" w:hAnsi="Times New Roman" w:cs="Times New Roman"/>
          <w:b/>
          <w:sz w:val="28"/>
          <w:szCs w:val="28"/>
        </w:rPr>
        <w:t>Комитет по образованию города Улан – Удэ</w:t>
      </w:r>
    </w:p>
    <w:p w:rsidR="00DD5AF7" w:rsidRPr="0011324C" w:rsidRDefault="00DD5AF7" w:rsidP="00DD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D5AF7" w:rsidRPr="0011324C" w:rsidRDefault="00DD5AF7" w:rsidP="00DD5A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C">
        <w:rPr>
          <w:rFonts w:ascii="Times New Roman" w:hAnsi="Times New Roman" w:cs="Times New Roman"/>
          <w:b/>
          <w:sz w:val="28"/>
          <w:szCs w:val="28"/>
        </w:rPr>
        <w:t>детский сад №72 «Аленушка»</w:t>
      </w: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</w:p>
    <w:p w:rsidR="00DD5AF7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  <w:r w:rsidRPr="0011324C">
        <w:rPr>
          <w:rStyle w:val="FontStyle11"/>
        </w:rPr>
        <w:t>Диагностика педагогического процесса</w:t>
      </w:r>
      <w:r w:rsidRPr="0011324C">
        <w:rPr>
          <w:rStyle w:val="FontStyle11"/>
        </w:rPr>
        <w:br/>
      </w:r>
      <w:r>
        <w:rPr>
          <w:rStyle w:val="FontStyle11"/>
        </w:rPr>
        <w:t>в дошкольной образовательной организации</w:t>
      </w:r>
      <w:r w:rsidRPr="0011324C">
        <w:rPr>
          <w:rStyle w:val="FontStyle11"/>
        </w:rPr>
        <w:br/>
        <w:t xml:space="preserve">на </w:t>
      </w:r>
      <w:r>
        <w:rPr>
          <w:rStyle w:val="FontStyle11"/>
        </w:rPr>
        <w:t xml:space="preserve">2022-2023учебный год </w:t>
      </w:r>
    </w:p>
    <w:p w:rsidR="00DD5AF7" w:rsidRPr="0011324C" w:rsidRDefault="00DD5AF7" w:rsidP="00DD5AF7">
      <w:pPr>
        <w:pStyle w:val="Style1"/>
        <w:widowControl/>
        <w:tabs>
          <w:tab w:val="left" w:leader="underscore" w:pos="3758"/>
          <w:tab w:val="left" w:leader="underscore" w:pos="4483"/>
        </w:tabs>
        <w:spacing w:before="77"/>
        <w:ind w:left="1301"/>
        <w:rPr>
          <w:rStyle w:val="FontStyle11"/>
        </w:rPr>
      </w:pPr>
      <w:r>
        <w:rPr>
          <w:rStyle w:val="FontStyle11"/>
        </w:rPr>
        <w:t>Подготовительная группа №9</w:t>
      </w: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DD5AF7" w:rsidRPr="0011324C" w:rsidRDefault="00DD5AF7" w:rsidP="00DD5AF7">
      <w:pPr>
        <w:pStyle w:val="Style3"/>
        <w:widowControl/>
        <w:spacing w:line="240" w:lineRule="exact"/>
        <w:rPr>
          <w:sz w:val="20"/>
          <w:szCs w:val="20"/>
        </w:rPr>
      </w:pPr>
    </w:p>
    <w:p w:rsidR="00DD5AF7" w:rsidRPr="00170D79" w:rsidRDefault="00DD5AF7" w:rsidP="00DD5AF7">
      <w:pPr>
        <w:pStyle w:val="Style3"/>
        <w:widowControl/>
        <w:spacing w:before="235"/>
        <w:jc w:val="center"/>
      </w:pPr>
      <w:proofErr w:type="spellStart"/>
      <w:r w:rsidRPr="0011324C">
        <w:rPr>
          <w:rStyle w:val="FontStyle12"/>
        </w:rPr>
        <w:t>Воспитатель</w:t>
      </w:r>
      <w:proofErr w:type="gramStart"/>
      <w:r w:rsidRPr="0011324C">
        <w:rPr>
          <w:rStyle w:val="FontStyle12"/>
        </w:rPr>
        <w:t>:</w:t>
      </w:r>
      <w:r>
        <w:rPr>
          <w:rStyle w:val="FontStyle12"/>
        </w:rPr>
        <w:t>С</w:t>
      </w:r>
      <w:proofErr w:type="gramEnd"/>
      <w:r>
        <w:rPr>
          <w:rStyle w:val="FontStyle12"/>
        </w:rPr>
        <w:t>молина</w:t>
      </w:r>
      <w:proofErr w:type="spellEnd"/>
      <w:r>
        <w:rPr>
          <w:rStyle w:val="FontStyle12"/>
        </w:rPr>
        <w:t xml:space="preserve"> Л.Т..</w:t>
      </w:r>
    </w:p>
    <w:p w:rsidR="00DD5AF7" w:rsidRPr="0011324C" w:rsidRDefault="00DD5AF7" w:rsidP="00DD5AF7">
      <w:pPr>
        <w:pStyle w:val="Style3"/>
        <w:widowControl/>
        <w:spacing w:before="235"/>
        <w:jc w:val="center"/>
      </w:pPr>
      <w:r>
        <w:t xml:space="preserve">   Дата обследования:01.09-15.09.22г</w:t>
      </w:r>
      <w:r w:rsidRPr="0011324C">
        <w:t>.</w:t>
      </w:r>
    </w:p>
    <w:p w:rsidR="00DD5AF7" w:rsidRDefault="00DD5AF7" w:rsidP="00DD5AF7"/>
    <w:p w:rsidR="00DD5AF7" w:rsidRDefault="00DD5AF7" w:rsidP="00DD5AF7"/>
    <w:p w:rsidR="00DD5AF7" w:rsidRDefault="00DD5AF7" w:rsidP="00DD5AF7"/>
    <w:p w:rsidR="00DD5AF7" w:rsidRDefault="00DD5AF7" w:rsidP="00DD5AF7"/>
    <w:p w:rsidR="00DD5AF7" w:rsidRDefault="00DD5AF7" w:rsidP="00DD5AF7"/>
    <w:p w:rsidR="00DD5AF7" w:rsidRDefault="00DD5AF7" w:rsidP="00DD5AF7">
      <w:pPr>
        <w:spacing w:line="240" w:lineRule="auto"/>
        <w:contextualSpacing/>
      </w:pPr>
    </w:p>
    <w:p w:rsidR="00DD5AF7" w:rsidRDefault="00DD5AF7" w:rsidP="00DD5AF7">
      <w:pPr>
        <w:spacing w:line="240" w:lineRule="auto"/>
        <w:contextualSpacing/>
        <w:jc w:val="center"/>
      </w:pPr>
      <w:r>
        <w:t>Улан – Удэ</w:t>
      </w:r>
    </w:p>
    <w:p w:rsidR="00DD5AF7" w:rsidRDefault="00DD5AF7" w:rsidP="00DD5AF7">
      <w:pPr>
        <w:pStyle w:val="Style5"/>
        <w:widowControl/>
        <w:spacing w:before="10" w:line="250" w:lineRule="exact"/>
        <w:rPr>
          <w:rStyle w:val="FontStyle14"/>
        </w:rPr>
      </w:pPr>
      <w:r>
        <w:rPr>
          <w:rStyle w:val="FontStyle14"/>
        </w:rPr>
        <w:lastRenderedPageBreak/>
        <w:t>Предлагаемое пособие разработано с целью оптимизации образователь</w:t>
      </w:r>
      <w:r>
        <w:rPr>
          <w:rStyle w:val="FontStyle14"/>
        </w:rPr>
        <w:softHyphen/>
        <w:t xml:space="preserve">ного процесса в любом учреждении, </w:t>
      </w:r>
      <w:proofErr w:type="gramStart"/>
      <w:r>
        <w:rPr>
          <w:rStyle w:val="FontStyle14"/>
        </w:rPr>
        <w:t>работающим</w:t>
      </w:r>
      <w:proofErr w:type="gramEnd"/>
      <w:r>
        <w:rPr>
          <w:rStyle w:val="FontStyle14"/>
        </w:rPr>
        <w:t xml:space="preserve"> с группой детей 6-7лет, вне зависимости от приоритетов разработанной программы обучения и вос</w:t>
      </w:r>
      <w:r>
        <w:rPr>
          <w:rStyle w:val="FontStyle14"/>
        </w:rPr>
        <w:softHyphen/>
        <w:t>питания и контингента детей. Это достигается путем использования обще</w:t>
      </w:r>
      <w:r>
        <w:rPr>
          <w:rStyle w:val="FontStyle14"/>
        </w:rPr>
        <w:softHyphen/>
        <w:t>принятых критериев развития детей данного возраста и уровневым подхо</w:t>
      </w:r>
      <w:r>
        <w:rPr>
          <w:rStyle w:val="FontStyle14"/>
        </w:rPr>
        <w:softHyphen/>
        <w:t>дом к оценке достижений ребенка по принципу: чем ниже балл, тем боль</w:t>
      </w:r>
      <w:r>
        <w:rPr>
          <w:rStyle w:val="FontStyle1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>
        <w:rPr>
          <w:rStyle w:val="FontStyle14"/>
        </w:rPr>
        <w:softHyphen/>
        <w:t>тей, соответствующих Федеральному государственному образовательно</w:t>
      </w:r>
      <w:r>
        <w:rPr>
          <w:rStyle w:val="FontStyle1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>
        <w:rPr>
          <w:rStyle w:val="FontStyle14"/>
        </w:rPr>
        <w:softHyphen/>
        <w:t>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rStyle w:val="FontStyle1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DD5AF7" w:rsidRDefault="00DD5AF7" w:rsidP="00DD5AF7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rStyle w:val="FontStyle14"/>
        </w:rPr>
        <w:softHyphen/>
        <w:t>тям:</w:t>
      </w:r>
    </w:p>
    <w:p w:rsidR="00DD5AF7" w:rsidRDefault="00DD5AF7" w:rsidP="00DD5AF7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 — ребенок не может выполнить все параметры оценки, помощь взрослого не принимает;</w:t>
      </w:r>
    </w:p>
    <w:p w:rsidR="00DD5AF7" w:rsidRDefault="00DD5AF7" w:rsidP="00DD5AF7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с помощью взрослого выполняет некоторые парамет</w:t>
      </w:r>
      <w:r>
        <w:rPr>
          <w:rStyle w:val="FontStyle14"/>
        </w:rPr>
        <w:softHyphen/>
        <w:t>ры оценки;</w:t>
      </w:r>
    </w:p>
    <w:p w:rsidR="00DD5AF7" w:rsidRDefault="00DD5AF7" w:rsidP="00DD5AF7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выполняет все параметры оценки с частичной помо</w:t>
      </w:r>
      <w:r>
        <w:rPr>
          <w:rStyle w:val="FontStyle14"/>
        </w:rPr>
        <w:softHyphen/>
        <w:t>щью взрослого;</w:t>
      </w:r>
    </w:p>
    <w:p w:rsidR="00DD5AF7" w:rsidRDefault="00DD5AF7" w:rsidP="00DD5AF7">
      <w:pPr>
        <w:pStyle w:val="Style6"/>
        <w:widowControl/>
        <w:numPr>
          <w:ilvl w:val="0"/>
          <w:numId w:val="1"/>
        </w:numPr>
        <w:tabs>
          <w:tab w:val="left" w:pos="542"/>
        </w:tabs>
        <w:spacing w:line="250" w:lineRule="exact"/>
        <w:rPr>
          <w:rStyle w:val="FontStyle14"/>
        </w:rPr>
      </w:pPr>
      <w:r>
        <w:rPr>
          <w:rStyle w:val="FontStyle14"/>
        </w:rPr>
        <w:t>балла — ребенок выполняет самостоятельно и с частичной помощью взрослого все параметры оценки;</w:t>
      </w:r>
    </w:p>
    <w:p w:rsidR="00DD5AF7" w:rsidRDefault="00DD5AF7" w:rsidP="00DD5AF7">
      <w:pPr>
        <w:pStyle w:val="Style7"/>
        <w:widowControl/>
        <w:tabs>
          <w:tab w:val="left" w:pos="542"/>
        </w:tabs>
        <w:ind w:left="374"/>
        <w:rPr>
          <w:rStyle w:val="FontStyle14"/>
        </w:rPr>
      </w:pPr>
      <w:r>
        <w:rPr>
          <w:rStyle w:val="FontStyle14"/>
        </w:rPr>
        <w:t>5</w:t>
      </w:r>
      <w:r>
        <w:rPr>
          <w:rStyle w:val="FontStyle14"/>
        </w:rPr>
        <w:tab/>
        <w:t>баллов — ребенок выполняет все параметры оценки самостоятельно. Таблицы педагогической диагностики заполняются дважды в год, если</w:t>
      </w:r>
    </w:p>
    <w:p w:rsidR="00DD5AF7" w:rsidRDefault="00DD5AF7" w:rsidP="00DD5AF7">
      <w:pPr>
        <w:pStyle w:val="Style8"/>
        <w:widowControl/>
        <w:spacing w:line="250" w:lineRule="exact"/>
        <w:rPr>
          <w:rStyle w:val="FontStyle14"/>
        </w:rPr>
      </w:pPr>
      <w:proofErr w:type="gramStart"/>
      <w:r>
        <w:rPr>
          <w:rStyle w:val="FontStyle14"/>
        </w:rPr>
        <w:t>другое</w:t>
      </w:r>
      <w:proofErr w:type="gramEnd"/>
      <w:r>
        <w:rPr>
          <w:rStyle w:val="FontStyle14"/>
        </w:rPr>
        <w:t xml:space="preserve"> не предусмотрено в образовательной организации, — в начале и кон</w:t>
      </w:r>
      <w:r>
        <w:rPr>
          <w:rStyle w:val="FontStyle1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DD5AF7" w:rsidRDefault="00DD5AF7" w:rsidP="00DD5AF7">
      <w:pPr>
        <w:pStyle w:val="Style5"/>
        <w:widowControl/>
        <w:spacing w:line="250" w:lineRule="exact"/>
        <w:rPr>
          <w:rStyle w:val="FontStyle14"/>
          <w:lang w:eastAsia="en-US"/>
        </w:rPr>
      </w:pPr>
      <w:r>
        <w:rPr>
          <w:rStyle w:val="FontStyle15"/>
        </w:rPr>
        <w:t xml:space="preserve">Этап 1. </w:t>
      </w:r>
      <w:r>
        <w:rPr>
          <w:rStyle w:val="FontStyle14"/>
        </w:rPr>
        <w:t>Напротив фамилии и имени каждого ребенка проставляются бал</w:t>
      </w:r>
      <w:r>
        <w:rPr>
          <w:rStyle w:val="FontStyle14"/>
        </w:rPr>
        <w:softHyphen/>
        <w:t xml:space="preserve">лы в каждой ячейке указанного параметра, по которым затем считается </w:t>
      </w:r>
      <w:proofErr w:type="spellStart"/>
      <w:r>
        <w:rPr>
          <w:rStyle w:val="FontStyle14"/>
        </w:rPr>
        <w:t>ито</w:t>
      </w:r>
      <w:proofErr w:type="spellEnd"/>
      <w:r>
        <w:rPr>
          <w:rStyle w:val="FontStyle14"/>
        </w:rPr>
        <w:softHyphen/>
      </w:r>
      <w:proofErr w:type="spellStart"/>
      <w:proofErr w:type="gramStart"/>
      <w:r>
        <w:rPr>
          <w:rStyle w:val="FontStyle14"/>
          <w:lang w:val="en-US" w:eastAsia="en-US"/>
        </w:rPr>
        <w:t>jie</w:t>
      </w:r>
      <w:proofErr w:type="spellEnd"/>
      <w:proofErr w:type="gramEnd"/>
      <w:r>
        <w:rPr>
          <w:rStyle w:val="FontStyle14"/>
          <w:lang w:eastAsia="en-US"/>
        </w:rPr>
        <w:t>коллеги!</w:t>
      </w:r>
    </w:p>
    <w:p w:rsidR="00DD5AF7" w:rsidRDefault="00DD5AF7" w:rsidP="00DD5AF7">
      <w:pPr>
        <w:pStyle w:val="Style8"/>
        <w:widowControl/>
        <w:spacing w:line="250" w:lineRule="exact"/>
        <w:rPr>
          <w:rStyle w:val="FontStyle14"/>
        </w:rPr>
      </w:pPr>
      <w:proofErr w:type="spellStart"/>
      <w:r>
        <w:rPr>
          <w:rStyle w:val="FontStyle14"/>
        </w:rPr>
        <w:t>говый</w:t>
      </w:r>
      <w:proofErr w:type="spellEnd"/>
      <w:r>
        <w:rPr>
          <w:rStyle w:val="FontStyle14"/>
        </w:rPr>
        <w:t xml:space="preserve">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rStyle w:val="FontStyle14"/>
        </w:rPr>
        <w:softHyphen/>
        <w:t>лей). Этот показатель необходим для написания характеристики на конкрет</w:t>
      </w:r>
      <w:r>
        <w:rPr>
          <w:rStyle w:val="FontStyle14"/>
        </w:rPr>
        <w:softHyphen/>
        <w:t>ного ребенка и проведения индивидуального учета промежуточных результа</w:t>
      </w:r>
      <w:r>
        <w:rPr>
          <w:rStyle w:val="FontStyle14"/>
        </w:rPr>
        <w:softHyphen/>
        <w:t>тов освоения общеобразовательной программы.</w:t>
      </w:r>
    </w:p>
    <w:p w:rsidR="00DD5AF7" w:rsidRDefault="00DD5AF7" w:rsidP="00DD5AF7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5"/>
        </w:rPr>
        <w:t xml:space="preserve">Этап 2. </w:t>
      </w:r>
      <w:r>
        <w:rPr>
          <w:rStyle w:val="FontStyle14"/>
        </w:rPr>
        <w:t>Когда все дети прошли диагностику, тогда подсчитывается итого</w:t>
      </w:r>
      <w:r>
        <w:rPr>
          <w:rStyle w:val="FontStyle14"/>
        </w:rPr>
        <w:softHyphen/>
        <w:t>вый показатель по группе (среднее значение = все баллы сложить (по столб</w:t>
      </w:r>
      <w:r>
        <w:rPr>
          <w:rStyle w:val="FontStyle14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rStyle w:val="FontStyle14"/>
        </w:rPr>
        <w:t>общегрупповых</w:t>
      </w:r>
      <w:proofErr w:type="spellEnd"/>
      <w:r>
        <w:rPr>
          <w:rStyle w:val="FontStyle14"/>
        </w:rPr>
        <w:t xml:space="preserve">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обще-групповых промежуточных результатов освоения общеобразовательной про</w:t>
      </w:r>
      <w:r>
        <w:rPr>
          <w:rStyle w:val="FontStyle14"/>
        </w:rPr>
        <w:softHyphen/>
        <w:t>граммы.</w:t>
      </w:r>
    </w:p>
    <w:p w:rsidR="00DD5AF7" w:rsidRDefault="00DD5AF7" w:rsidP="00DD5AF7">
      <w:pPr>
        <w:pStyle w:val="Style5"/>
        <w:widowControl/>
        <w:spacing w:line="250" w:lineRule="exact"/>
        <w:ind w:firstLine="365"/>
        <w:rPr>
          <w:rStyle w:val="FontStyle15"/>
        </w:rPr>
      </w:pPr>
      <w:r>
        <w:rPr>
          <w:rStyle w:val="FontStyle1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rStyle w:val="FontStyle1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Style w:val="FontStyle1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rStyle w:val="FontStyle14"/>
        </w:rPr>
        <w:softHyphen/>
        <w:t xml:space="preserve">ку или </w:t>
      </w:r>
      <w:proofErr w:type="spellStart"/>
      <w:r>
        <w:rPr>
          <w:rStyle w:val="FontStyle14"/>
        </w:rPr>
        <w:t>общегрупповому</w:t>
      </w:r>
      <w:proofErr w:type="spellEnd"/>
      <w:r>
        <w:rPr>
          <w:rStyle w:val="FontStyle14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>
        <w:rPr>
          <w:rStyle w:val="FontStyle14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rStyle w:val="FontStyle1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rStyle w:val="FontStyle14"/>
        </w:rPr>
        <w:softHyphen/>
        <w:t xml:space="preserve">вательной области. </w:t>
      </w:r>
      <w:proofErr w:type="gramStart"/>
      <w:r>
        <w:rPr>
          <w:rStyle w:val="FontStyle15"/>
        </w:rPr>
        <w:t>{Указанные интервалы средних значений носят реко</w:t>
      </w:r>
      <w:r>
        <w:rPr>
          <w:rStyle w:val="FontStyle15"/>
        </w:rPr>
        <w:softHyphen/>
        <w:t>мендательный характер, так как получены с помощью применяемых в пси</w:t>
      </w:r>
      <w:r>
        <w:rPr>
          <w:rStyle w:val="FontStyle15"/>
        </w:rPr>
        <w:softHyphen/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  <w:proofErr w:type="gramEnd"/>
    </w:p>
    <w:p w:rsidR="00DD5AF7" w:rsidRDefault="00DD5AF7" w:rsidP="00DD5AF7">
      <w:pPr>
        <w:pStyle w:val="Style5"/>
        <w:widowControl/>
        <w:spacing w:line="250" w:lineRule="exact"/>
        <w:rPr>
          <w:rStyle w:val="FontStyle14"/>
        </w:rPr>
      </w:pPr>
      <w:r>
        <w:rPr>
          <w:rStyle w:val="FontStyle14"/>
        </w:rPr>
        <w:t>Наличие математической обработки результатов педагогической диагно</w:t>
      </w:r>
      <w:r>
        <w:rPr>
          <w:rStyle w:val="FontStyle14"/>
        </w:rPr>
        <w:softHyphen/>
        <w:t>стики образовательного процесса оптимизирует хранение и сравнение ре</w:t>
      </w:r>
      <w:r>
        <w:rPr>
          <w:rStyle w:val="FontStyle14"/>
        </w:rPr>
        <w:softHyphen/>
        <w:t>зультатов каждого ребенка и позволяет своевременно оптимизировать педа</w:t>
      </w:r>
      <w:r>
        <w:rPr>
          <w:rStyle w:val="FontStyle14"/>
        </w:rPr>
        <w:softHyphen/>
        <w:t>гогический проце</w:t>
      </w:r>
      <w:proofErr w:type="gramStart"/>
      <w:r>
        <w:rPr>
          <w:rStyle w:val="FontStyle14"/>
        </w:rPr>
        <w:t>сс в гр</w:t>
      </w:r>
      <w:proofErr w:type="gramEnd"/>
      <w:r>
        <w:rPr>
          <w:rStyle w:val="FontStyle14"/>
        </w:rPr>
        <w:t>уппе детей образовательной организации.</w:t>
      </w:r>
    </w:p>
    <w:p w:rsidR="00DD5AF7" w:rsidRDefault="00DD5AF7" w:rsidP="00DD5AF7">
      <w:pPr>
        <w:rPr>
          <w:color w:val="FF0000"/>
        </w:rPr>
      </w:pPr>
      <w:r w:rsidRPr="0011324C">
        <w:rPr>
          <w:color w:val="FF0000"/>
        </w:rPr>
        <w:t>Изучение результатов усвоения основной общеобразовательной программы дошкольного образования и детского развития.</w:t>
      </w:r>
    </w:p>
    <w:p w:rsidR="00DD5AF7" w:rsidRPr="0011324C" w:rsidRDefault="00DD5AF7" w:rsidP="00DD5AF7">
      <w:pPr>
        <w:rPr>
          <w:color w:val="FF0000"/>
        </w:rPr>
      </w:pPr>
      <w:r w:rsidRPr="0011324C">
        <w:rPr>
          <w:color w:val="FF0000"/>
        </w:rPr>
        <w:t>Методы мониторинга: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тесты, игровые ситуации.</w:t>
      </w:r>
    </w:p>
    <w:p w:rsidR="00DD5AF7" w:rsidRDefault="00DD5AF7" w:rsidP="00DD5AF7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>Сформирован – более 3,8</w:t>
      </w:r>
    </w:p>
    <w:p w:rsidR="00DD5AF7" w:rsidRDefault="00DD5AF7" w:rsidP="00DD5AF7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>В стадии формирования  - 2,3 – 3,7</w:t>
      </w:r>
    </w:p>
    <w:p w:rsidR="00DD5AF7" w:rsidRDefault="00DD5AF7" w:rsidP="00DD5AF7">
      <w:pPr>
        <w:pStyle w:val="Style9"/>
        <w:widowControl/>
        <w:spacing w:before="48"/>
        <w:ind w:left="3974"/>
        <w:jc w:val="both"/>
        <w:rPr>
          <w:rStyle w:val="FontStyle20"/>
        </w:rPr>
      </w:pPr>
      <w:r>
        <w:rPr>
          <w:rStyle w:val="FontStyle20"/>
        </w:rPr>
        <w:t>Не сформирован – менее 2,2</w:t>
      </w:r>
    </w:p>
    <w:p w:rsidR="00DD5AF7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5AF7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5AF7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5AF7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Аналитическая справка по результатам </w:t>
      </w:r>
      <w:proofErr w:type="gramStart"/>
      <w:r w:rsidRPr="001F0448">
        <w:rPr>
          <w:rFonts w:ascii="Times New Roman" w:eastAsia="Times New Roman" w:hAnsi="Times New Roman" w:cs="Times New Roman"/>
          <w:b/>
          <w:lang w:eastAsia="ru-RU"/>
        </w:rPr>
        <w:t>входной</w:t>
      </w:r>
      <w:proofErr w:type="gramEnd"/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 xml:space="preserve">диагностики подготовительной группы </w:t>
      </w:r>
      <w:r w:rsidRPr="001F0448">
        <w:rPr>
          <w:rFonts w:ascii="Times New Roman" w:eastAsia="Times New Roman" w:hAnsi="Times New Roman" w:cs="Times New Roman"/>
          <w:b/>
          <w:lang w:eastAsia="ru-RU"/>
        </w:rPr>
        <w:t>№7.</w:t>
      </w: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lang w:eastAsia="ru-RU"/>
        </w:rPr>
        <w:t>В сентябре 202</w:t>
      </w:r>
      <w:r w:rsidRPr="001F0448">
        <w:rPr>
          <w:rFonts w:ascii="Times New Roman" w:eastAsia="Times New Roman" w:hAnsi="Times New Roman" w:cs="Times New Roman"/>
          <w:lang w:eastAsia="ru-RU"/>
        </w:rPr>
        <w:t>2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года проводилась диагностика в подготовительной группе</w:t>
      </w:r>
      <w:r w:rsidRPr="00B813F1">
        <w:rPr>
          <w:rFonts w:ascii="Times New Roman" w:eastAsia="Times New Roman" w:hAnsi="Times New Roman" w:cs="Times New Roman"/>
          <w:b/>
          <w:lang w:eastAsia="ru-RU"/>
        </w:rPr>
        <w:t>,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в которой было обследовано </w:t>
      </w:r>
      <w:r w:rsidR="005C2BCF">
        <w:rPr>
          <w:rFonts w:ascii="Times New Roman" w:eastAsia="Times New Roman" w:hAnsi="Times New Roman" w:cs="Times New Roman"/>
          <w:lang w:eastAsia="ru-RU"/>
        </w:rPr>
        <w:t xml:space="preserve">25 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детей. В результате созданных условий и проведения </w:t>
      </w:r>
      <w:proofErr w:type="spellStart"/>
      <w:r w:rsidRPr="00B813F1">
        <w:rPr>
          <w:rFonts w:ascii="Times New Roman" w:eastAsia="Times New Roman" w:hAnsi="Times New Roman" w:cs="Times New Roman"/>
          <w:lang w:eastAsia="ru-RU"/>
        </w:rPr>
        <w:t>воспитательно</w:t>
      </w:r>
      <w:proofErr w:type="spellEnd"/>
      <w:r w:rsidRPr="00B813F1">
        <w:rPr>
          <w:rFonts w:ascii="Times New Roman" w:eastAsia="Times New Roman" w:hAnsi="Times New Roman" w:cs="Times New Roman"/>
          <w:lang w:eastAsia="ru-RU"/>
        </w:rPr>
        <w:t xml:space="preserve"> – образовательной работы по всем образовательным областям. По итогам обследования были выявлены следующие результаты:</w:t>
      </w:r>
    </w:p>
    <w:p w:rsidR="00DD5AF7" w:rsidRPr="00B813F1" w:rsidRDefault="00DD5AF7" w:rsidP="00DD5AF7">
      <w:pPr>
        <w:pBdr>
          <w:top w:val="none" w:sz="0" w:space="11" w:color="auto"/>
          <w:bottom w:val="none" w:sz="0" w:space="11" w:color="auto"/>
          <w:between w:val="none" w:sz="0" w:space="1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 xml:space="preserve">1. Социально - коммуникативное развитие: 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соответствует возрасту. </w:t>
      </w:r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</w:t>
      </w:r>
      <w:proofErr w:type="spellStart"/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>сформированность</w:t>
      </w:r>
      <w:proofErr w:type="spellEnd"/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 xml:space="preserve"> коммуникативных компетенций и плохая организация самостоятельной деятельности. </w:t>
      </w:r>
    </w:p>
    <w:p w:rsidR="00DD5AF7" w:rsidRPr="00B813F1" w:rsidRDefault="00DD5AF7" w:rsidP="00DD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>2. Познавательное развитие: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соответствует возрасту. По данным результатам можно сделать вывод, </w:t>
      </w:r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>3. Речевое развитие: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недостаточно </w:t>
      </w:r>
      <w:proofErr w:type="gramStart"/>
      <w:r w:rsidRPr="00B813F1">
        <w:rPr>
          <w:rFonts w:ascii="Times New Roman" w:eastAsia="Times New Roman" w:hAnsi="Times New Roman" w:cs="Times New Roman"/>
          <w:lang w:eastAsia="ru-RU"/>
        </w:rPr>
        <w:t>развиты</w:t>
      </w:r>
      <w:proofErr w:type="gramEnd"/>
      <w:r w:rsidRPr="00B813F1">
        <w:rPr>
          <w:rFonts w:ascii="Times New Roman" w:eastAsia="Times New Roman" w:hAnsi="Times New Roman" w:cs="Times New Roman"/>
          <w:lang w:eastAsia="ru-RU"/>
        </w:rPr>
        <w:t xml:space="preserve">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</w:t>
      </w:r>
      <w:r w:rsidRPr="001F0448">
        <w:rPr>
          <w:rFonts w:ascii="Times New Roman" w:eastAsia="Times New Roman" w:hAnsi="Times New Roman" w:cs="Times New Roman"/>
          <w:lang w:eastAsia="ru-RU"/>
        </w:rPr>
        <w:t>2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употреблении предлогов. </w:t>
      </w: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AF7" w:rsidRPr="00B813F1" w:rsidRDefault="00DD5AF7" w:rsidP="00DD5A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>4. Художественно-эстетическое развитие: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соответствует возрасту. Д</w:t>
      </w:r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B813F1">
        <w:rPr>
          <w:rFonts w:ascii="Times New Roman" w:eastAsia="Times New Roman" w:hAnsi="Times New Roman" w:cs="Times New Roman"/>
          <w:b/>
          <w:color w:val="111111"/>
          <w:lang w:eastAsia="ru-RU"/>
        </w:rPr>
        <w:t>.</w:t>
      </w:r>
      <w:r w:rsidRPr="00B813F1">
        <w:rPr>
          <w:rFonts w:ascii="Times New Roman" w:eastAsia="Times New Roman" w:hAnsi="Times New Roman" w:cs="Times New Roman"/>
          <w:color w:val="111111"/>
          <w:lang w:eastAsia="ru-RU"/>
        </w:rPr>
        <w:t xml:space="preserve"> Дети с удовольствием по рисунку создают постройки. Они умеют пользоваться шаблоном.</w:t>
      </w:r>
    </w:p>
    <w:p w:rsidR="00DD5AF7" w:rsidRPr="00B813F1" w:rsidRDefault="00DD5AF7" w:rsidP="00DD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5. </w:t>
      </w:r>
      <w:r w:rsidRPr="00B813F1">
        <w:rPr>
          <w:rFonts w:ascii="Times New Roman" w:eastAsia="Times New Roman" w:hAnsi="Times New Roman" w:cs="Times New Roman"/>
          <w:b/>
          <w:lang w:eastAsia="ru-RU"/>
        </w:rPr>
        <w:t>Физическое развитие: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соответствует возрасту.  На </w:t>
      </w:r>
      <w:r w:rsidRPr="001F0448">
        <w:rPr>
          <w:rFonts w:ascii="Times New Roman" w:eastAsia="Times New Roman" w:hAnsi="Times New Roman" w:cs="Times New Roman"/>
          <w:lang w:eastAsia="ru-RU"/>
        </w:rPr>
        <w:t>начало учебного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:rsidR="00DD5AF7" w:rsidRPr="00B813F1" w:rsidRDefault="00DD5AF7" w:rsidP="00DD5A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AF7" w:rsidRPr="00B813F1" w:rsidRDefault="00DD5AF7" w:rsidP="00DD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:rsidR="00DD5AF7" w:rsidRPr="00B813F1" w:rsidRDefault="00DD5AF7" w:rsidP="00DD5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13F1">
        <w:rPr>
          <w:rFonts w:ascii="Times New Roman" w:eastAsia="Times New Roman" w:hAnsi="Times New Roman" w:cs="Times New Roman"/>
          <w:lang w:eastAsia="ru-RU"/>
        </w:rPr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DD5AF7" w:rsidRPr="00B813F1" w:rsidRDefault="00DD5AF7" w:rsidP="00DD5AF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lang w:eastAsia="ru-RU"/>
        </w:rPr>
      </w:pPr>
      <w:r w:rsidRPr="00B813F1">
        <w:rPr>
          <w:rFonts w:ascii="Times New Roman" w:eastAsia="Times New Roman" w:hAnsi="Times New Roman" w:cs="Times New Roman"/>
          <w:lang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B813F1">
        <w:rPr>
          <w:rFonts w:ascii="Times New Roman" w:eastAsia="Times New Roman" w:hAnsi="Times New Roman" w:cs="Times New Roman"/>
          <w:i/>
          <w:lang w:eastAsia="ru-RU"/>
        </w:rPr>
        <w:t>(</w:t>
      </w:r>
      <w:r w:rsidRPr="00B813F1">
        <w:rPr>
          <w:rFonts w:ascii="Times New Roman" w:eastAsia="Times New Roman" w:hAnsi="Times New Roman" w:cs="Times New Roman"/>
          <w:lang w:eastAsia="ru-RU"/>
        </w:rPr>
        <w:t xml:space="preserve">элементы дымковской, </w:t>
      </w:r>
      <w:proofErr w:type="spellStart"/>
      <w:r w:rsidRPr="00B813F1">
        <w:rPr>
          <w:rFonts w:ascii="Times New Roman" w:eastAsia="Times New Roman" w:hAnsi="Times New Roman" w:cs="Times New Roman"/>
          <w:lang w:eastAsia="ru-RU"/>
        </w:rPr>
        <w:t>филимоновской</w:t>
      </w:r>
      <w:proofErr w:type="spellEnd"/>
      <w:r w:rsidRPr="00B813F1">
        <w:rPr>
          <w:rFonts w:ascii="Times New Roman" w:eastAsia="Times New Roman" w:hAnsi="Times New Roman" w:cs="Times New Roman"/>
          <w:lang w:eastAsia="ru-RU"/>
        </w:rPr>
        <w:t xml:space="preserve"> росписи). Необходимо также продолжать вести индивидуальную работу с детьми.  </w:t>
      </w:r>
    </w:p>
    <w:p w:rsidR="00DD5AF7" w:rsidRPr="001F0448" w:rsidRDefault="00DD5AF7" w:rsidP="00DD5AF7">
      <w:pPr>
        <w:spacing w:after="0" w:line="240" w:lineRule="auto"/>
        <w:jc w:val="both"/>
      </w:pPr>
    </w:p>
    <w:p w:rsidR="00DD5AF7" w:rsidRDefault="00DD5AF7" w:rsidP="00DD5AF7">
      <w:pPr>
        <w:pStyle w:val="a3"/>
        <w:jc w:val="center"/>
        <w:rPr>
          <w:rFonts w:cs="Times New Roman"/>
          <w:b/>
          <w:sz w:val="28"/>
          <w:szCs w:val="28"/>
        </w:rPr>
      </w:pPr>
      <w:r w:rsidRPr="00973F4F">
        <w:rPr>
          <w:rFonts w:cs="Times New Roman"/>
          <w:b/>
          <w:sz w:val="28"/>
          <w:szCs w:val="28"/>
        </w:rPr>
        <w:t xml:space="preserve">Сводная таблица данных по диагностике детей </w:t>
      </w:r>
      <w:r>
        <w:rPr>
          <w:rFonts w:cs="Times New Roman"/>
          <w:b/>
          <w:sz w:val="28"/>
          <w:szCs w:val="28"/>
        </w:rPr>
        <w:t xml:space="preserve"> подготовительной к школе группы №9</w:t>
      </w:r>
    </w:p>
    <w:p w:rsidR="00DD5AF7" w:rsidRDefault="00DD5AF7" w:rsidP="00DD5AF7">
      <w:pPr>
        <w:pStyle w:val="a3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Обследовано: 25 детей</w:t>
      </w:r>
    </w:p>
    <w:p w:rsidR="00DD5AF7" w:rsidRDefault="00DD5AF7" w:rsidP="00DD5AF7">
      <w:pPr>
        <w:pStyle w:val="a3"/>
        <w:jc w:val="both"/>
        <w:rPr>
          <w:rFonts w:cs="Times New Roman"/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951"/>
        <w:gridCol w:w="893"/>
        <w:gridCol w:w="1233"/>
        <w:gridCol w:w="1237"/>
        <w:gridCol w:w="890"/>
        <w:gridCol w:w="1134"/>
        <w:gridCol w:w="992"/>
        <w:gridCol w:w="1276"/>
        <w:gridCol w:w="992"/>
        <w:gridCol w:w="1134"/>
        <w:gridCol w:w="1134"/>
        <w:gridCol w:w="1134"/>
        <w:gridCol w:w="1134"/>
      </w:tblGrid>
      <w:tr w:rsidR="00DD5AF7" w:rsidRPr="00A947C5" w:rsidTr="00B822CD">
        <w:tc>
          <w:tcPr>
            <w:tcW w:w="1951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0915" w:type="dxa"/>
            <w:gridSpan w:val="10"/>
          </w:tcPr>
          <w:p w:rsidR="00DD5AF7" w:rsidRPr="00A947C5" w:rsidRDefault="00DD5AF7" w:rsidP="00B822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2268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%</w:t>
            </w:r>
          </w:p>
        </w:tc>
      </w:tr>
      <w:tr w:rsidR="00DD5AF7" w:rsidRPr="00A947C5" w:rsidTr="00B822CD">
        <w:trPr>
          <w:trHeight w:val="1230"/>
        </w:trPr>
        <w:tc>
          <w:tcPr>
            <w:tcW w:w="1951" w:type="dxa"/>
            <w:vMerge w:val="restart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gridSpan w:val="2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AF7" w:rsidRPr="00A947C5" w:rsidTr="00B822CD">
        <w:trPr>
          <w:trHeight w:val="537"/>
        </w:trPr>
        <w:tc>
          <w:tcPr>
            <w:tcW w:w="1951" w:type="dxa"/>
            <w:vMerge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</w:tcPr>
          <w:p w:rsidR="00DD5AF7" w:rsidRPr="00A947C5" w:rsidRDefault="00DD5AF7" w:rsidP="00B82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90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DD5AF7" w:rsidRPr="00A947C5" w:rsidTr="00B822CD">
        <w:tc>
          <w:tcPr>
            <w:tcW w:w="1951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0/0%</w:t>
            </w:r>
          </w:p>
        </w:tc>
        <w:tc>
          <w:tcPr>
            <w:tcW w:w="123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1/4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0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/8%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1.2/4%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AF7" w:rsidRPr="00A947C5" w:rsidTr="00B822CD">
        <w:trPr>
          <w:trHeight w:val="693"/>
        </w:trPr>
        <w:tc>
          <w:tcPr>
            <w:tcW w:w="1951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89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21/84%</w:t>
            </w:r>
          </w:p>
        </w:tc>
        <w:tc>
          <w:tcPr>
            <w:tcW w:w="123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22/88%</w:t>
            </w:r>
          </w:p>
        </w:tc>
        <w:tc>
          <w:tcPr>
            <w:tcW w:w="890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/84%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25/100%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22/88%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AF7" w:rsidRPr="00A947C5" w:rsidTr="00B822CD">
        <w:tc>
          <w:tcPr>
            <w:tcW w:w="1951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4/16%</w:t>
            </w:r>
          </w:p>
        </w:tc>
        <w:tc>
          <w:tcPr>
            <w:tcW w:w="1233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890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</w:t>
            </w:r>
          </w:p>
        </w:tc>
        <w:tc>
          <w:tcPr>
            <w:tcW w:w="992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C5">
              <w:rPr>
                <w:rFonts w:ascii="Times New Roman" w:hAnsi="Times New Roman" w:cs="Times New Roman"/>
                <w:b/>
                <w:sz w:val="24"/>
                <w:szCs w:val="24"/>
              </w:rPr>
              <w:t>2/8%</w:t>
            </w:r>
          </w:p>
        </w:tc>
        <w:tc>
          <w:tcPr>
            <w:tcW w:w="1134" w:type="dxa"/>
          </w:tcPr>
          <w:p w:rsidR="00DD5AF7" w:rsidRPr="00A947C5" w:rsidRDefault="00DD5AF7" w:rsidP="00B822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AF7" w:rsidRDefault="00DD5AF7"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114935</wp:posOffset>
            </wp:positionV>
            <wp:extent cx="5414645" cy="2541270"/>
            <wp:effectExtent l="0" t="0" r="14605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</w:p>
    <w:sectPr w:rsidR="00DD5AF7" w:rsidSect="00DD5AF7">
      <w:pgSz w:w="16834" w:h="11909" w:orient="landscape"/>
      <w:pgMar w:top="851" w:right="284" w:bottom="427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2D8E"/>
    <w:multiLevelType w:val="singleLevel"/>
    <w:tmpl w:val="DE727020"/>
    <w:lvl w:ilvl="0">
      <w:start w:val="1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3421"/>
    <w:rsid w:val="005C2BCF"/>
    <w:rsid w:val="00A309A3"/>
    <w:rsid w:val="00B80EDD"/>
    <w:rsid w:val="00DD5AF7"/>
    <w:rsid w:val="00D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5AF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D5AF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DD5AF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2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D5AF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D5AF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D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D5AF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DD5AF7"/>
    <w:pPr>
      <w:spacing w:after="0" w:line="240" w:lineRule="auto"/>
    </w:pPr>
  </w:style>
  <w:style w:type="table" w:styleId="a4">
    <w:name w:val="Table Grid"/>
    <w:basedOn w:val="a1"/>
    <w:uiPriority w:val="39"/>
    <w:rsid w:val="00DD5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5AF7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D5AF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DD5AF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2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4" w:lineRule="exact"/>
      <w:ind w:firstLine="3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D5AF7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D5AF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D5AF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DD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DD5AF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DD5AF7"/>
    <w:pPr>
      <w:spacing w:after="0" w:line="240" w:lineRule="auto"/>
    </w:pPr>
  </w:style>
  <w:style w:type="table" w:styleId="a4">
    <w:name w:val="Table Grid"/>
    <w:basedOn w:val="a1"/>
    <w:uiPriority w:val="39"/>
    <w:rsid w:val="00DD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4.0000000000000008E-2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0.88000000000000012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1"/>
                <c:pt idx="0">
                  <c:v>входная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8.0000000000000016E-2</c:v>
                </c:pt>
              </c:numCache>
            </c:numRef>
          </c:val>
        </c:ser>
        <c:dLbls/>
        <c:shape val="box"/>
        <c:axId val="65013632"/>
        <c:axId val="65015168"/>
        <c:axId val="0"/>
      </c:bar3DChart>
      <c:catAx>
        <c:axId val="65013632"/>
        <c:scaling>
          <c:orientation val="minMax"/>
        </c:scaling>
        <c:axPos val="b"/>
        <c:tickLblPos val="nextTo"/>
        <c:crossAx val="65015168"/>
        <c:crosses val="autoZero"/>
        <c:auto val="1"/>
        <c:lblAlgn val="ctr"/>
        <c:lblOffset val="100"/>
      </c:catAx>
      <c:valAx>
        <c:axId val="65015168"/>
        <c:scaling>
          <c:orientation val="minMax"/>
        </c:scaling>
        <c:axPos val="l"/>
        <c:majorGridlines/>
        <c:numFmt formatCode="0%" sourceLinked="1"/>
        <c:tickLblPos val="nextTo"/>
        <c:crossAx val="650136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2022-09-16T03:38:00Z</dcterms:created>
  <dcterms:modified xsi:type="dcterms:W3CDTF">2022-09-16T03:47:00Z</dcterms:modified>
</cp:coreProperties>
</file>