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2" w:rsidRPr="00174AB9" w:rsidRDefault="00174AB9" w:rsidP="009D2392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Аналитический отчет о работ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е воспитателя во второй младшей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группе за учебный год 20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21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22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гг</w:t>
      </w:r>
    </w:p>
    <w:p w:rsidR="00174AB9" w:rsidRPr="00C80AC3" w:rsidRDefault="00174AB9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Воспитатель:</w:t>
      </w:r>
      <w:r w:rsidR="00B41ABD">
        <w:rPr>
          <w:rFonts w:ascii="Times New Roman" w:hAnsi="Times New Roman"/>
          <w:color w:val="000000"/>
          <w:sz w:val="28"/>
          <w:szCs w:val="28"/>
        </w:rPr>
        <w:t xml:space="preserve"> Арискина Татьяна Александровна</w:t>
      </w:r>
      <w:r w:rsidRPr="00C80AC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74AB9" w:rsidRDefault="00B41ABD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Группа №2(первая </w:t>
      </w:r>
      <w:r w:rsidR="00174AB9">
        <w:rPr>
          <w:rFonts w:ascii="Times New Roman" w:hAnsi="Times New Roman"/>
          <w:color w:val="000000"/>
          <w:sz w:val="28"/>
          <w:szCs w:val="28"/>
        </w:rPr>
        <w:t xml:space="preserve"> младшая)</w:t>
      </w:r>
    </w:p>
    <w:p w:rsidR="009D2392" w:rsidRPr="00174AB9" w:rsidRDefault="00174AB9" w:rsidP="00174AB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Состав группы: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Всего детей в группе </w:t>
      </w:r>
      <w:r w:rsidR="004330A9">
        <w:rPr>
          <w:rFonts w:ascii="Times New Roman" w:eastAsia="Calibri" w:hAnsi="Times New Roman" w:cs="Times New Roman"/>
          <w:sz w:val="28"/>
          <w:szCs w:val="28"/>
        </w:rPr>
        <w:t>–</w:t>
      </w:r>
      <w:r w:rsidR="00B41ABD">
        <w:rPr>
          <w:rFonts w:ascii="Times New Roman" w:eastAsia="Calibri" w:hAnsi="Times New Roman" w:cs="Times New Roman"/>
          <w:sz w:val="28"/>
          <w:szCs w:val="28"/>
        </w:rPr>
        <w:t xml:space="preserve"> 38</w:t>
      </w:r>
      <w:r w:rsidR="004330A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Возраст детей: от </w:t>
      </w:r>
      <w:r w:rsidR="00B41ABD">
        <w:rPr>
          <w:rFonts w:ascii="Times New Roman" w:eastAsia="Calibri" w:hAnsi="Times New Roman" w:cs="Times New Roman"/>
          <w:sz w:val="28"/>
          <w:szCs w:val="28"/>
        </w:rPr>
        <w:t>2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330A9">
        <w:rPr>
          <w:rFonts w:ascii="Times New Roman" w:eastAsia="Calibri" w:hAnsi="Times New Roman" w:cs="Times New Roman"/>
          <w:sz w:val="28"/>
          <w:szCs w:val="28"/>
        </w:rPr>
        <w:t>4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осуществлялась в соответствии с годовым планом работы и Образовательной программы детского сада на 2021 - 2022 учебный год. Реализация Образовательной программы обеспечило развитие личности, мотивации и способностей детей в различных видах деятельности и охватывало следующие образовательные области,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осуществлялась по программе «Детство» Т. И. Бабаевой, А. Г. Гогоберидзе, З. А. Михайловой и др.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8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Цель программы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 </w:t>
      </w:r>
    </w:p>
    <w:p w:rsidR="009D2392" w:rsidRPr="00174AB9" w:rsidRDefault="009D2392" w:rsidP="009D2392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С детьми систематически проводилась организованная непосредственная образовательная деятельность в соответствии с общеобразовательной программой, реализуемой в ДОУ, и утвержденным расписанием непосредственно образовательной деятельности. 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</w:t>
      </w:r>
      <w:r w:rsidRPr="00174AB9">
        <w:rPr>
          <w:rFonts w:ascii="Times New Roman" w:eastAsia="Calibri" w:hAnsi="Times New Roman" w:cs="Times New Roman"/>
          <w:iCs/>
          <w:sz w:val="28"/>
          <w:szCs w:val="28"/>
        </w:rPr>
        <w:t>(перспективного и календарного плана)</w:t>
      </w:r>
      <w:r w:rsidRPr="00174AB9">
        <w:rPr>
          <w:rFonts w:ascii="Times New Roman" w:eastAsia="Calibri" w:hAnsi="Times New Roman" w:cs="Times New Roman"/>
          <w:sz w:val="28"/>
          <w:szCs w:val="28"/>
        </w:rPr>
        <w:t> и составлена рабочая программа группы.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непосредственной образовательной деятельности (НОД) использовались как традиционные формы и методы, так и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инновационные технологии, формы, методы и приёмы: технология детского экспериментирования, технология исследовательской деятельности, проектная деятельность.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Образовательная деятельность включает четыре </w:t>
      </w:r>
      <w:r w:rsidRPr="00174AB9">
        <w:rPr>
          <w:rFonts w:ascii="Times New Roman" w:eastAsia="Calibri" w:hAnsi="Times New Roman" w:cs="Times New Roman"/>
          <w:sz w:val="28"/>
          <w:szCs w:val="28"/>
        </w:rPr>
        <w:t>формы работы с детьми: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двигательной, коммуникативной, самообслуживания и элементарного бытового труда, конструирования, познавательно-исследовательской, музыкальной, изобразительной, восприятия художественной литературы);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образовательную деятельность, осуществляемую в ходе режимных моментов;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самостоятельную деятельность детей;</w:t>
      </w:r>
    </w:p>
    <w:p w:rsidR="009D2392" w:rsidRPr="00174AB9" w:rsidRDefault="009D2392" w:rsidP="009D239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взаимодействие с семьями детей по осуществлению воспитательно - образовательного процесса.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Образовательная деятельность в группе осуществлялась с учетом принципа комплексно – тематического планирования. В течение года старались разнообразить жизнь детей в детском саду, как можно больше насытить её интересными мероприятиями.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В течение учебного года строго соблюдался режим дня и все санитарно-гигиенические требования к пребыванию детей в ДОУ.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Благодаря реализации программы здоровья в детском саду и в группе, которая была направлена на физическое развитие и укрепление здоровья дошкольников: развитие физических качеств, двигательной активности и становлению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активности, заботе о здоровье и др. Используя различные формы оздоровительной работы, 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технологий: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физкультурные занятия, самостоятельная деятельность детей, подвижные и спортивные игры, утренняя гимнастика (традиционная, дыхательная, звуковая), двигательно-оздоровительные физкультминутки, физические упражнения после дневного сна, физические упражнения в сочетании с закаливающими процедурами, физкультурные прогулки (в парк, на стадион), физкультурные досуги и спортивные праздники.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учебного года дети развивались в соответствии с возрастными особенностями и показали позитивную динамику по всем направлениям развития. Позитивная динамика развития наблюдается у каждого ребенка и группы в целом.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С целью определения уровня освоения детьми основной общеобразовательной программы и эффективности организации образовательного процесса в группе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и дальнейшего их планирования, проводилась оценка индивидуального развития детей, т.е.  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проведен мониторинг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уровня освоения детей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 - в начале и конце учебного года.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Основные диагностические методы: наблюдение, проблемная (диагностическая) ситуация, беседа, анализ продуктивной деятельности детей.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Формы проведения педагогической диагностики: индивидуальная, подгрупповая, групповая.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По проведенной диагностике уровня освоения детьми ООП ДО на начало, и конец учебного года было выявлено следующее: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b/>
          <w:sz w:val="28"/>
          <w:szCs w:val="28"/>
        </w:rPr>
        <w:t xml:space="preserve">Сводная таблица данных по мониторингу   </w:t>
      </w:r>
    </w:p>
    <w:p w:rsidR="005B7C32" w:rsidRPr="00174AB9" w:rsidRDefault="005B7C32" w:rsidP="005B7C32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B83089" w:rsidP="005B7C32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Обследовано: 28</w:t>
      </w:r>
      <w:r w:rsidR="005B7C32" w:rsidRPr="00174AB9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</w:t>
      </w:r>
    </w:p>
    <w:p w:rsidR="005B7C32" w:rsidRPr="00174AB9" w:rsidRDefault="005B7C32" w:rsidP="00174A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5B7C32" w:rsidP="005B7C32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603" w:type="dxa"/>
        <w:tblInd w:w="250" w:type="dxa"/>
        <w:tblLayout w:type="fixed"/>
        <w:tblLook w:val="04A0"/>
      </w:tblPr>
      <w:tblGrid>
        <w:gridCol w:w="2297"/>
        <w:gridCol w:w="945"/>
        <w:gridCol w:w="1081"/>
        <w:gridCol w:w="945"/>
        <w:gridCol w:w="1082"/>
        <w:gridCol w:w="947"/>
        <w:gridCol w:w="1082"/>
        <w:gridCol w:w="947"/>
        <w:gridCol w:w="1081"/>
        <w:gridCol w:w="946"/>
        <w:gridCol w:w="1082"/>
        <w:gridCol w:w="1081"/>
        <w:gridCol w:w="1081"/>
        <w:gridCol w:w="6"/>
      </w:tblGrid>
      <w:tr w:rsidR="005B7C32" w:rsidRPr="00174AB9" w:rsidTr="00B83089">
        <w:trPr>
          <w:trHeight w:val="390"/>
        </w:trPr>
        <w:tc>
          <w:tcPr>
            <w:tcW w:w="2297" w:type="dxa"/>
            <w:vMerge w:val="restart"/>
          </w:tcPr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  <w:r w:rsidRPr="00174AB9">
              <w:t xml:space="preserve">         Параметры</w:t>
            </w:r>
          </w:p>
        </w:tc>
        <w:tc>
          <w:tcPr>
            <w:tcW w:w="10138" w:type="dxa"/>
            <w:gridSpan w:val="10"/>
          </w:tcPr>
          <w:p w:rsidR="005B7C32" w:rsidRPr="00174AB9" w:rsidRDefault="005B7C32" w:rsidP="00174AB9">
            <w:pPr>
              <w:pStyle w:val="a4"/>
            </w:pPr>
            <w:r w:rsidRPr="00174AB9">
              <w:t xml:space="preserve">                                                       Образовательные области</w:t>
            </w:r>
          </w:p>
        </w:tc>
        <w:tc>
          <w:tcPr>
            <w:tcW w:w="2168" w:type="dxa"/>
            <w:gridSpan w:val="3"/>
            <w:vMerge w:val="restart"/>
          </w:tcPr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</w:p>
          <w:p w:rsidR="005B7C32" w:rsidRPr="00174AB9" w:rsidRDefault="005B7C32" w:rsidP="00174AB9">
            <w:pPr>
              <w:pStyle w:val="a4"/>
            </w:pPr>
            <w:r w:rsidRPr="00174AB9">
              <w:t xml:space="preserve">                  %</w:t>
            </w:r>
          </w:p>
        </w:tc>
      </w:tr>
      <w:tr w:rsidR="005B7C32" w:rsidRPr="00174AB9" w:rsidTr="00B83089">
        <w:trPr>
          <w:trHeight w:val="1103"/>
        </w:trPr>
        <w:tc>
          <w:tcPr>
            <w:tcW w:w="2297" w:type="dxa"/>
            <w:vMerge/>
          </w:tcPr>
          <w:p w:rsidR="005B7C32" w:rsidRPr="00174AB9" w:rsidRDefault="005B7C32" w:rsidP="00174AB9">
            <w:pPr>
              <w:pStyle w:val="a4"/>
            </w:pPr>
          </w:p>
        </w:tc>
        <w:tc>
          <w:tcPr>
            <w:tcW w:w="2026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Социально-коммуникативное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развитие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2027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Познавательное развитие</w:t>
            </w:r>
          </w:p>
        </w:tc>
        <w:tc>
          <w:tcPr>
            <w:tcW w:w="2029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Речевое развитие</w:t>
            </w: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Художественно-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эстетическое</w:t>
            </w:r>
          </w:p>
          <w:p w:rsidR="005B7C32" w:rsidRPr="00174AB9" w:rsidRDefault="005B7C32" w:rsidP="00174AB9">
            <w:pPr>
              <w:pStyle w:val="a4"/>
            </w:pPr>
            <w:r w:rsidRPr="00174AB9">
              <w:t>развитие</w:t>
            </w:r>
          </w:p>
        </w:tc>
        <w:tc>
          <w:tcPr>
            <w:tcW w:w="2028" w:type="dxa"/>
            <w:gridSpan w:val="2"/>
          </w:tcPr>
          <w:p w:rsidR="005B7C32" w:rsidRPr="00174AB9" w:rsidRDefault="005B7C32" w:rsidP="00174AB9">
            <w:pPr>
              <w:pStyle w:val="a4"/>
            </w:pPr>
            <w:r w:rsidRPr="00174AB9">
              <w:t>Физическое развитие</w:t>
            </w:r>
          </w:p>
        </w:tc>
        <w:tc>
          <w:tcPr>
            <w:tcW w:w="2168" w:type="dxa"/>
            <w:gridSpan w:val="3"/>
            <w:vMerge/>
          </w:tcPr>
          <w:p w:rsidR="005B7C32" w:rsidRPr="00174AB9" w:rsidRDefault="005B7C32" w:rsidP="00174AB9">
            <w:pPr>
              <w:pStyle w:val="a4"/>
            </w:pPr>
          </w:p>
        </w:tc>
      </w:tr>
      <w:tr w:rsidR="005B7C32" w:rsidRPr="00174AB9" w:rsidTr="00B83089">
        <w:trPr>
          <w:gridAfter w:val="1"/>
          <w:wAfter w:w="6" w:type="dxa"/>
          <w:trHeight w:val="481"/>
        </w:trPr>
        <w:tc>
          <w:tcPr>
            <w:tcW w:w="2297" w:type="dxa"/>
            <w:vMerge/>
          </w:tcPr>
          <w:p w:rsidR="005B7C32" w:rsidRPr="00174AB9" w:rsidRDefault="005B7C32" w:rsidP="00174AB9">
            <w:pPr>
              <w:pStyle w:val="a4"/>
            </w:pPr>
          </w:p>
        </w:tc>
        <w:tc>
          <w:tcPr>
            <w:tcW w:w="945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5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2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2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7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946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2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Входная</w:t>
            </w:r>
          </w:p>
          <w:p w:rsidR="005B7C32" w:rsidRPr="00174AB9" w:rsidRDefault="005B7C32" w:rsidP="00174AB9">
            <w:pPr>
              <w:pStyle w:val="a4"/>
            </w:pPr>
          </w:p>
        </w:tc>
        <w:tc>
          <w:tcPr>
            <w:tcW w:w="1081" w:type="dxa"/>
          </w:tcPr>
          <w:p w:rsidR="005B7C32" w:rsidRPr="00174AB9" w:rsidRDefault="005B7C32" w:rsidP="00174AB9">
            <w:pPr>
              <w:pStyle w:val="a4"/>
            </w:pPr>
            <w:r w:rsidRPr="00174AB9">
              <w:t>Итоговая</w:t>
            </w:r>
          </w:p>
          <w:p w:rsidR="005B7C32" w:rsidRPr="00174AB9" w:rsidRDefault="005B7C32" w:rsidP="00174AB9">
            <w:pPr>
              <w:pStyle w:val="a4"/>
            </w:pPr>
          </w:p>
        </w:tc>
      </w:tr>
      <w:tr w:rsidR="00B83089" w:rsidRPr="00174AB9" w:rsidTr="00B83089">
        <w:trPr>
          <w:gridAfter w:val="1"/>
          <w:wAfter w:w="6" w:type="dxa"/>
          <w:trHeight w:val="447"/>
        </w:trPr>
        <w:tc>
          <w:tcPr>
            <w:tcW w:w="2297" w:type="dxa"/>
          </w:tcPr>
          <w:p w:rsidR="00B83089" w:rsidRPr="00174AB9" w:rsidRDefault="00B83089" w:rsidP="00174AB9">
            <w:pPr>
              <w:pStyle w:val="a4"/>
            </w:pPr>
            <w:r w:rsidRPr="00174AB9">
              <w:t xml:space="preserve">Сформирован 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2/7%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6/21%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0/0%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6/21%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6/21%</w:t>
            </w:r>
          </w:p>
        </w:tc>
        <w:tc>
          <w:tcPr>
            <w:tcW w:w="946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6/21%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21 %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79%</w:t>
            </w:r>
          </w:p>
        </w:tc>
      </w:tr>
      <w:tr w:rsidR="00B83089" w:rsidRPr="00174AB9" w:rsidTr="00B83089">
        <w:trPr>
          <w:gridAfter w:val="1"/>
          <w:wAfter w:w="6" w:type="dxa"/>
          <w:trHeight w:val="632"/>
        </w:trPr>
        <w:tc>
          <w:tcPr>
            <w:tcW w:w="2297" w:type="dxa"/>
          </w:tcPr>
          <w:p w:rsidR="00B83089" w:rsidRPr="00174AB9" w:rsidRDefault="00B83089" w:rsidP="00174AB9">
            <w:pPr>
              <w:pStyle w:val="a4"/>
            </w:pPr>
            <w:r w:rsidRPr="00174AB9">
              <w:t xml:space="preserve">Стадия формирования 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18/65%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20/71%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12/43%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12/43%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12/43%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20/71%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12/43%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18/65%</w:t>
            </w:r>
          </w:p>
        </w:tc>
        <w:tc>
          <w:tcPr>
            <w:tcW w:w="946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18/65%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41%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69,4%</w:t>
            </w:r>
          </w:p>
        </w:tc>
      </w:tr>
      <w:tr w:rsidR="00B83089" w:rsidRPr="00174AB9" w:rsidTr="00B83089">
        <w:trPr>
          <w:gridAfter w:val="1"/>
          <w:wAfter w:w="6" w:type="dxa"/>
          <w:trHeight w:val="780"/>
        </w:trPr>
        <w:tc>
          <w:tcPr>
            <w:tcW w:w="2297" w:type="dxa"/>
          </w:tcPr>
          <w:p w:rsidR="00B83089" w:rsidRPr="00174AB9" w:rsidRDefault="00B83089" w:rsidP="00174AB9">
            <w:pPr>
              <w:pStyle w:val="a4"/>
            </w:pPr>
            <w:r w:rsidRPr="00174AB9">
              <w:t xml:space="preserve">Не сформирован 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8/26%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2/8 %</w:t>
            </w:r>
          </w:p>
        </w:tc>
        <w:tc>
          <w:tcPr>
            <w:tcW w:w="945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14/49%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14/49%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2/8%</w:t>
            </w:r>
          </w:p>
        </w:tc>
        <w:tc>
          <w:tcPr>
            <w:tcW w:w="947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16/57%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4/14%</w:t>
            </w:r>
          </w:p>
        </w:tc>
        <w:tc>
          <w:tcPr>
            <w:tcW w:w="946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12/43%</w:t>
            </w:r>
          </w:p>
        </w:tc>
        <w:tc>
          <w:tcPr>
            <w:tcW w:w="1082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4/14%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46,8%</w:t>
            </w:r>
          </w:p>
        </w:tc>
        <w:tc>
          <w:tcPr>
            <w:tcW w:w="1081" w:type="dxa"/>
          </w:tcPr>
          <w:p w:rsidR="00B83089" w:rsidRDefault="00B83089" w:rsidP="00C129DE">
            <w:pPr>
              <w:pStyle w:val="a4"/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53,2%</w:t>
            </w:r>
          </w:p>
        </w:tc>
      </w:tr>
    </w:tbl>
    <w:p w:rsidR="005B7C32" w:rsidRPr="00174AB9" w:rsidRDefault="005B7C3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32" w:rsidRPr="00174AB9" w:rsidRDefault="005B7C3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392" w:rsidRPr="00174AB9" w:rsidRDefault="009D239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Анализируя уровень усвоения программы детей за учебный год, по результатам мониторинга, можно сделать вывод: уровень развития детей по образовательным областям по сравнению с началом учебного года повысился. Дети показали хорошие результаты по всем областям, у них накопились знания, умения, навыки. По результатам мониторинга уровень «Сформирован» достигли </w:t>
      </w:r>
      <w:r w:rsidR="00381282">
        <w:rPr>
          <w:rFonts w:ascii="Times New Roman" w:eastAsia="Calibri" w:hAnsi="Times New Roman" w:cs="Times New Roman"/>
          <w:sz w:val="28"/>
          <w:szCs w:val="28"/>
        </w:rPr>
        <w:t>46</w:t>
      </w:r>
      <w:r w:rsidRPr="00174AB9">
        <w:rPr>
          <w:rFonts w:ascii="Times New Roman" w:eastAsia="Calibri" w:hAnsi="Times New Roman" w:cs="Times New Roman"/>
          <w:sz w:val="28"/>
          <w:szCs w:val="28"/>
        </w:rPr>
        <w:t>%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(14</w:t>
      </w:r>
      <w:r w:rsidRPr="00174AB9">
        <w:rPr>
          <w:rFonts w:ascii="Times New Roman" w:eastAsia="Calibri" w:hAnsi="Times New Roman" w:cs="Times New Roman"/>
          <w:sz w:val="28"/>
          <w:szCs w:val="28"/>
        </w:rPr>
        <w:t>) детей; уровень «Стадия формирования»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41% (13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); детей с уровнем «Не сформирован» </w:t>
      </w:r>
      <w:r w:rsidR="00381282">
        <w:rPr>
          <w:rFonts w:ascii="Times New Roman" w:eastAsia="Calibri" w:hAnsi="Times New Roman" w:cs="Times New Roman"/>
          <w:sz w:val="28"/>
          <w:szCs w:val="28"/>
        </w:rPr>
        <w:t>13</w:t>
      </w:r>
      <w:r w:rsidRPr="00174AB9">
        <w:rPr>
          <w:rFonts w:ascii="Times New Roman" w:eastAsia="Calibri" w:hAnsi="Times New Roman" w:cs="Times New Roman"/>
          <w:sz w:val="28"/>
          <w:szCs w:val="28"/>
        </w:rPr>
        <w:t>%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(4ребенка</w:t>
      </w:r>
      <w:r w:rsidRPr="00174AB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D2392" w:rsidRPr="00174AB9" w:rsidRDefault="009D2392" w:rsidP="009D2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Положительное влияние на этот процесс оказывает тесное сотрудничество воспитателей, родителей, специалистов, администрации ДОУ, а также использование приемов развивающего обучения и индивидуального подхода к каждому ребенку.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В течени</w:t>
      </w:r>
      <w:proofErr w:type="gramStart"/>
      <w:r w:rsidRPr="00174AB9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учебного года были проведены следующие мероприятия с </w:t>
      </w:r>
      <w:r w:rsidR="00381282" w:rsidRPr="00174AB9">
        <w:rPr>
          <w:rFonts w:ascii="Times New Roman" w:eastAsia="Calibri" w:hAnsi="Times New Roman" w:cs="Times New Roman"/>
          <w:bCs/>
          <w:sz w:val="28"/>
          <w:szCs w:val="28"/>
        </w:rPr>
        <w:t>детьми: 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День знаний», «Осень золотая</w:t>
      </w:r>
      <w:r w:rsidR="00381282" w:rsidRPr="00174AB9">
        <w:rPr>
          <w:rFonts w:ascii="Times New Roman" w:eastAsia="Calibri" w:hAnsi="Times New Roman" w:cs="Times New Roman"/>
          <w:bCs/>
          <w:sz w:val="28"/>
          <w:szCs w:val="28"/>
        </w:rPr>
        <w:t>», 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Новый год», «Мамин день», «23 февраля», развлечения, физкультурные и спортивные досуги, театрализация, проекты по инициативе детей в рамках проведения тематической недели</w:t>
      </w:r>
      <w:proofErr w:type="gramStart"/>
      <w:r w:rsidRPr="00174AB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М</w:t>
      </w:r>
      <w:proofErr w:type="gramEnd"/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ама – главное слово в жизни моей", </w:t>
      </w:r>
    </w:p>
    <w:p w:rsidR="009D2392" w:rsidRPr="00174AB9" w:rsidRDefault="009D2392" w:rsidP="009D2392">
      <w:pPr>
        <w:spacing w:after="200" w:line="240" w:lineRule="auto"/>
        <w:ind w:hanging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В ходе проведенных мероприятий были получены положительные результаты: привлекала детей стеснительных, не активных </w:t>
      </w:r>
      <w:r w:rsidR="00180187">
        <w:rPr>
          <w:rFonts w:ascii="Times New Roman" w:eastAsia="Calibri" w:hAnsi="Times New Roman" w:cs="Times New Roman"/>
          <w:bCs/>
          <w:sz w:val="28"/>
          <w:szCs w:val="28"/>
        </w:rPr>
        <w:t>– они читали стихи,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танцевали, пели. Они стали более активными, уверенными, контактируют со взрослыми и сверстниками.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В течение года в группе систематически осуществлялось взаимодействие с родителями. Составлены перспективные и календарные планы, в которых отражены все совместные мероприятия (проекты, развлечения, открытые показы НОД, консультации, родительские собрания и др.), направленные на повышение родительской компетентности по воспитанию детей. В работе используем различные способы вовлечения родителей в воспитательный и образовательный процесс: педагогические беседы с родителями, тематические консультации, наглядная пропаганда, родительские собрания, телефонные звонки, совместное проведение развлечений, совместное творчество и др.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Основной формой работы с родителями является родительское собрание. Проведено </w:t>
      </w:r>
      <w:r w:rsidR="00381282">
        <w:rPr>
          <w:rFonts w:ascii="Times New Roman" w:eastAsia="Calibri" w:hAnsi="Times New Roman" w:cs="Times New Roman"/>
          <w:sz w:val="28"/>
          <w:szCs w:val="28"/>
        </w:rPr>
        <w:t>2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родительских собрания: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1.  " </w:t>
      </w:r>
      <w:r w:rsidR="00381282">
        <w:rPr>
          <w:rFonts w:ascii="Times New Roman" w:eastAsia="Calibri" w:hAnsi="Times New Roman" w:cs="Times New Roman"/>
          <w:sz w:val="28"/>
          <w:szCs w:val="28"/>
        </w:rPr>
        <w:t>Возра</w:t>
      </w:r>
      <w:r w:rsidR="00180187">
        <w:rPr>
          <w:rFonts w:ascii="Times New Roman" w:eastAsia="Calibri" w:hAnsi="Times New Roman" w:cs="Times New Roman"/>
          <w:sz w:val="28"/>
          <w:szCs w:val="28"/>
        </w:rPr>
        <w:t>стные особенности детей 2</w:t>
      </w:r>
      <w:r w:rsidR="00381282">
        <w:rPr>
          <w:rFonts w:ascii="Times New Roman" w:eastAsia="Calibri" w:hAnsi="Times New Roman" w:cs="Times New Roman"/>
          <w:sz w:val="28"/>
          <w:szCs w:val="28"/>
        </w:rPr>
        <w:t>-4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ле</w:t>
      </w:r>
      <w:proofErr w:type="gramStart"/>
      <w:r w:rsidRPr="00174AB9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сентябрь 2021г) 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2.  «Наши успехи за год» (май 2022г)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Родители активно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 xml:space="preserve"> принимают участие в жизни группы и детского сада, посещают занятия, участвуют во всех акциях, проектах и совместных мероприятиях, проводимых для детей и с участием детей: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-развлечение «В преддверии белого месяца!»;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  Конкурс стенгазет и рисунков «</w:t>
      </w:r>
      <w:proofErr w:type="spellStart"/>
      <w:r w:rsidRPr="00174AB9">
        <w:rPr>
          <w:rFonts w:ascii="Times New Roman" w:eastAsia="Calibri" w:hAnsi="Times New Roman" w:cs="Times New Roman"/>
          <w:sz w:val="28"/>
          <w:szCs w:val="28"/>
        </w:rPr>
        <w:t>Сагаалган</w:t>
      </w:r>
      <w:proofErr w:type="spellEnd"/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2022»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81282">
        <w:rPr>
          <w:rFonts w:ascii="Times New Roman" w:eastAsia="Calibri" w:hAnsi="Times New Roman" w:cs="Times New Roman"/>
          <w:sz w:val="28"/>
          <w:szCs w:val="28"/>
        </w:rPr>
        <w:t xml:space="preserve"> «Белый месяц»,</w:t>
      </w: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«Бурятские писатели детям» (книги)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-фотоконкурс «Зимние забавы»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-развлечение «Пришла коляда – открывай ворота» (чаепитие, подготовка одежды)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--электронное голосование по благоустройству территорий в рамках приоритетного проекта «Формирование комфортной городской среды» на сайте gosuslugi.ru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-участие к выставке рисунков, стихов, фотографий «С днем рождения, мой любимый город!»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-уборка участка, территории детского сада от снега;</w:t>
      </w:r>
    </w:p>
    <w:p w:rsidR="009D2392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>-подготовка к новогоднему утреннику;</w:t>
      </w:r>
    </w:p>
    <w:p w:rsidR="00381282" w:rsidRPr="00174AB9" w:rsidRDefault="0038128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-Участие в утренниках посвященным «8 марта», «23 февраля»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AB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80187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Pr="00174AB9">
        <w:rPr>
          <w:rFonts w:ascii="Times New Roman" w:eastAsia="Calibri" w:hAnsi="Times New Roman" w:cs="Times New Roman"/>
          <w:sz w:val="28"/>
          <w:szCs w:val="28"/>
        </w:rPr>
        <w:t>в акции «Твои налоги – твоя школа и детский сад»;</w:t>
      </w:r>
    </w:p>
    <w:p w:rsidR="009D2392" w:rsidRPr="00174AB9" w:rsidRDefault="009D2392" w:rsidP="009D239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4AB9">
        <w:rPr>
          <w:rFonts w:ascii="Times New Roman" w:eastAsia="Calibri" w:hAnsi="Times New Roman" w:cs="Times New Roman"/>
          <w:bCs/>
          <w:sz w:val="28"/>
          <w:szCs w:val="28"/>
        </w:rPr>
        <w:t>В течение учебного года в группах создавалась развивающая </w:t>
      </w:r>
      <w:r w:rsidRPr="00174AB9">
        <w:rPr>
          <w:rFonts w:ascii="Times New Roman" w:eastAsia="Calibri" w:hAnsi="Times New Roman" w:cs="Times New Roman"/>
          <w:sz w:val="28"/>
          <w:szCs w:val="28"/>
        </w:rPr>
        <w:t>предметно - пространственная среда</w:t>
      </w:r>
      <w:r w:rsidRPr="00174AB9">
        <w:rPr>
          <w:rFonts w:ascii="Times New Roman" w:eastAsia="Calibri" w:hAnsi="Times New Roman" w:cs="Times New Roman"/>
          <w:bCs/>
          <w:sz w:val="28"/>
          <w:szCs w:val="28"/>
        </w:rPr>
        <w:t>, обеспечивающая оптимальные условия развития детей. С целью решения образовательных задач в группе оформлены центры (речевого развития; экспериментальной деятельности, уголки для сюжетно-ролевых игр, уголок природы, спортивный уголок и др.), оснащенные достаточным количеством развивающих материалов (книги, игрушки, материалы для творчества, развивающие игры и др.). Все центры организованы таким образом, что предоставляют возможность для развития логики, мышления, памяти и других психических процессов, двигательной активности детей. В центрах созданы условия, как для самостоятельной активности детей, так и для организованной деятельности совместно с педагогом. Находящиеся в центрах дидактические пособия, иллюстративный материал, оформленные с учетом специальных требований к наглядности, поддерживают интерес ребёнка к данным видам деятельности, побуждают к выполнению заданий, стимулируют детей к творческому самовыражению. Все предметы доступны детям. Подобная организация пространства позволила детям выбирать интересные для себя занятия, чередовать их в течение дня, а мне как педагогу эффективно организовать образовательный процесс и самостоятельную деятельность детей. Оснащение уголков менялось в соответствии с возрастными потребностями, интересами детей и тематическим планированием образовательного процесса.</w:t>
      </w:r>
    </w:p>
    <w:sectPr w:rsidR="009D2392" w:rsidRPr="00174AB9" w:rsidSect="009D2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8F8"/>
    <w:multiLevelType w:val="multilevel"/>
    <w:tmpl w:val="19C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4F8F"/>
    <w:multiLevelType w:val="multilevel"/>
    <w:tmpl w:val="D6C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D64AE"/>
    <w:multiLevelType w:val="multilevel"/>
    <w:tmpl w:val="5F2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D7"/>
    <w:rsid w:val="00174AB9"/>
    <w:rsid w:val="00180187"/>
    <w:rsid w:val="002162CD"/>
    <w:rsid w:val="00381282"/>
    <w:rsid w:val="003A2548"/>
    <w:rsid w:val="004330A9"/>
    <w:rsid w:val="0046711A"/>
    <w:rsid w:val="005B7C32"/>
    <w:rsid w:val="005D1AC2"/>
    <w:rsid w:val="009D2392"/>
    <w:rsid w:val="00AC07F3"/>
    <w:rsid w:val="00B12DD7"/>
    <w:rsid w:val="00B41ABD"/>
    <w:rsid w:val="00B83089"/>
    <w:rsid w:val="00F32D4C"/>
    <w:rsid w:val="00F4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4A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AE87-6E84-4C35-89A9-0089300B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7</cp:revision>
  <cp:lastPrinted>2022-05-27T05:35:00Z</cp:lastPrinted>
  <dcterms:created xsi:type="dcterms:W3CDTF">2022-05-27T05:02:00Z</dcterms:created>
  <dcterms:modified xsi:type="dcterms:W3CDTF">2022-05-29T23:36:00Z</dcterms:modified>
</cp:coreProperties>
</file>