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2D69B" w:themeColor="accent3" w:themeTint="99"/>
  <w:body>
    <w:p w:rsidR="003A57B7" w:rsidRDefault="003A57B7" w:rsidP="0044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6B2" w:rsidRDefault="000C26B2" w:rsidP="004477FD">
      <w:pPr>
        <w:jc w:val="center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</w:p>
    <w:p w:rsidR="00747258" w:rsidRPr="000C26B2" w:rsidRDefault="004477FD" w:rsidP="004477FD">
      <w:pPr>
        <w:jc w:val="center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Вопросы прогноза, или от чего зависит будущее ребенка с аутизмом?</w:t>
      </w:r>
    </w:p>
    <w:p w:rsidR="004477FD" w:rsidRPr="000C26B2" w:rsidRDefault="004477FD" w:rsidP="004477FD">
      <w:pPr>
        <w:spacing w:after="0"/>
        <w:ind w:firstLine="708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Цель помощи детям с аутизмом – добиться максимального уровня социальной адаптации ребенка: самостоятельности и независимости, повышения качества его жизни, максимальной возможности реализации себя как члена семьи, а позже – как полноправного члена общества. Возможность достижения этой цели определяется многими факторами, основные из которых:</w:t>
      </w:r>
    </w:p>
    <w:p w:rsidR="004477FD" w:rsidRPr="000C26B2" w:rsidRDefault="004477FD" w:rsidP="004477FD">
      <w:p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1. Тяжесть и глубина аутистических расстройств.</w:t>
      </w:r>
    </w:p>
    <w:p w:rsidR="004477FD" w:rsidRPr="000C26B2" w:rsidRDefault="004477FD" w:rsidP="004477FD">
      <w:p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2. Ранняя диагностика. По опыту зарубежных коллег начало коррекционной работы до 3-летнего возраста существенно (на 15-20%) повышает процент социализации детей с аутизмом. Успешное осуществление ранней диагностики требует:</w:t>
      </w:r>
    </w:p>
    <w:p w:rsidR="004477FD" w:rsidRPr="000C26B2" w:rsidRDefault="004477FD" w:rsidP="004477F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достаточного уровня подготовленности в области аутизма участковых педиатров, в задачу которых должно входить </w:t>
      </w:r>
      <w:r w:rsidR="00067E79"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выявление группы риска по РАС, направление на специальную диагностику и контроль за исполнением данных рекомендаций;</w:t>
      </w:r>
    </w:p>
    <w:p w:rsidR="00067E79" w:rsidRPr="000C26B2" w:rsidRDefault="00067E79" w:rsidP="004477F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возможности проведения квалифицированной комплексной диагностики на базе ПНД, специализированных центров и образовательных организаций;</w:t>
      </w:r>
    </w:p>
    <w:p w:rsidR="00067E79" w:rsidRPr="000C26B2" w:rsidRDefault="00067E79" w:rsidP="004477F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возможности для группы риска диагностических занятий (обычно в течение 2-3 месяцев) и в случае подтверждения диагноза – максимально раннее начало систематической комплексной коррекционной работы.</w:t>
      </w:r>
    </w:p>
    <w:p w:rsidR="00067E79" w:rsidRPr="000C26B2" w:rsidRDefault="00067E79" w:rsidP="00067E79">
      <w:p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3. Ранее начало специализированной коррекции, ее комплексный медико-социальный и психолого-педагогический характер. Ка</w:t>
      </w:r>
      <w:r w:rsidR="009F1A46">
        <w:rPr>
          <w:rFonts w:ascii="Times New Roman" w:hAnsi="Times New Roman" w:cs="Times New Roman"/>
          <w:color w:val="1F497D" w:themeColor="text2"/>
          <w:sz w:val="26"/>
          <w:szCs w:val="26"/>
        </w:rPr>
        <w:t>к правило, ни психофармакология</w:t>
      </w: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, ни психотерапия, ни лечебная педагогика, ни психологическая коррекция, используемые по отдельности, не приводят к стойким положительным изменениям.</w:t>
      </w:r>
    </w:p>
    <w:p w:rsidR="00067E79" w:rsidRPr="000C26B2" w:rsidRDefault="00067E79" w:rsidP="00067E79">
      <w:p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4. Адекватный и гибкий подход к выбору методов коррекционной работы, ее последовательность, продолжительность, достаточный объем.</w:t>
      </w:r>
    </w:p>
    <w:p w:rsidR="00067E79" w:rsidRPr="000C26B2" w:rsidRDefault="00067E79" w:rsidP="00067E79">
      <w:p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>5. Единство усилий специалистов и семьи.</w:t>
      </w:r>
    </w:p>
    <w:p w:rsidR="00067E79" w:rsidRDefault="00067E79" w:rsidP="00067E79">
      <w:p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ab/>
        <w:t>На настоящий момент нет научно доказанных сведений об основной причине аутизма, поэтому не существует какого-либо «исцеляющего» лечения в медицине или «чудодейственной» методики</w:t>
      </w:r>
      <w:r w:rsidR="00A00B6F"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 в специальной педагогике и пси</w:t>
      </w:r>
      <w:r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хологии, благодаря которым </w:t>
      </w:r>
      <w:r w:rsidR="00A00B6F" w:rsidRPr="000C26B2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можно было бы «вылечить» ребенка, избавить его от влияния на ход его развития этой причины. Однако известно, что  сам аутизм, как и многие другие проявления, - вторичны, а потому, если вовремя  оказать специализированную помощь, основанную на сотрудничестве семьи со специалистами, можно достичь  значительных положительных результатов, т. к. вторичные проявления менее устойчивы, а, значит, в большей степени поддаются коррекции. </w:t>
      </w:r>
    </w:p>
    <w:p w:rsidR="000C26B2" w:rsidRDefault="000C26B2" w:rsidP="00067E79">
      <w:pPr>
        <w:spacing w:after="0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</w:p>
    <w:p w:rsidR="000C26B2" w:rsidRPr="000C26B2" w:rsidRDefault="000C26B2" w:rsidP="009F1A46">
      <w:pPr>
        <w:spacing w:after="0"/>
        <w:jc w:val="right"/>
        <w:rPr>
          <w:rFonts w:ascii="Times New Roman" w:hAnsi="Times New Roman" w:cs="Times New Roman"/>
          <w:color w:val="1F497D" w:themeColor="text2"/>
          <w:sz w:val="26"/>
          <w:szCs w:val="26"/>
        </w:rPr>
      </w:pPr>
      <w:r>
        <w:rPr>
          <w:rFonts w:ascii="Times New Roman" w:hAnsi="Times New Roman" w:cs="Times New Roman"/>
          <w:noProof/>
          <w:color w:val="1F497D" w:themeColor="text2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9311640"/>
            <wp:positionH relativeFrom="margin">
              <wp:align>right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Square wrapText="bothSides"/>
            <wp:docPr id="3" name="Рисунок 3" descr="C:\Users\Oem\Downloads\015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ownloads\015-300x3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A46">
        <w:rPr>
          <w:rFonts w:ascii="Times New Roman" w:hAnsi="Times New Roman" w:cs="Times New Roman"/>
          <w:color w:val="1F497D" w:themeColor="text2"/>
          <w:sz w:val="26"/>
          <w:szCs w:val="26"/>
        </w:rPr>
        <w:t>логопед О.В.Ляхова</w:t>
      </w:r>
      <w:bookmarkStart w:id="0" w:name="_GoBack"/>
      <w:bookmarkEnd w:id="0"/>
    </w:p>
    <w:sectPr w:rsidR="000C26B2" w:rsidRPr="000C26B2" w:rsidSect="000258C3">
      <w:pgSz w:w="11906" w:h="16838"/>
      <w:pgMar w:top="426" w:right="850" w:bottom="567" w:left="1701" w:header="708" w:footer="708" w:gutter="0"/>
      <w:pgBorders w:offsetFrom="page">
        <w:top w:val="thickThinSmallGap" w:sz="48" w:space="24" w:color="4F6228" w:themeColor="accent3" w:themeShade="80"/>
        <w:left w:val="thickThinSmallGap" w:sz="48" w:space="24" w:color="4F6228" w:themeColor="accent3" w:themeShade="80"/>
        <w:bottom w:val="thinThickSmallGap" w:sz="48" w:space="24" w:color="4F6228" w:themeColor="accent3" w:themeShade="80"/>
        <w:right w:val="thinThickSmallGap" w:sz="48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83E"/>
    <w:multiLevelType w:val="hybridMultilevel"/>
    <w:tmpl w:val="424A766A"/>
    <w:lvl w:ilvl="0" w:tplc="5AFCEBE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C469CC"/>
    <w:multiLevelType w:val="hybridMultilevel"/>
    <w:tmpl w:val="06CAE228"/>
    <w:lvl w:ilvl="0" w:tplc="9A1E0A5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E12991"/>
    <w:multiLevelType w:val="hybridMultilevel"/>
    <w:tmpl w:val="D492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16D6F"/>
    <w:multiLevelType w:val="hybridMultilevel"/>
    <w:tmpl w:val="6FE2D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12133"/>
    <w:multiLevelType w:val="hybridMultilevel"/>
    <w:tmpl w:val="0CD0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74799"/>
    <w:multiLevelType w:val="hybridMultilevel"/>
    <w:tmpl w:val="0644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74629"/>
    <w:multiLevelType w:val="hybridMultilevel"/>
    <w:tmpl w:val="C47E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3DE"/>
    <w:multiLevelType w:val="hybridMultilevel"/>
    <w:tmpl w:val="DF7A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FD"/>
    <w:rsid w:val="000258C3"/>
    <w:rsid w:val="00067E79"/>
    <w:rsid w:val="000C26B2"/>
    <w:rsid w:val="002A4915"/>
    <w:rsid w:val="003A57B7"/>
    <w:rsid w:val="004477FD"/>
    <w:rsid w:val="00747258"/>
    <w:rsid w:val="00883684"/>
    <w:rsid w:val="009F1A46"/>
    <w:rsid w:val="00A0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DDFC"/>
  <w15:docId w15:val="{8368E97E-2B3B-459C-8508-7368F27B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Ольга Ляхова</cp:lastModifiedBy>
  <cp:revision>13</cp:revision>
  <cp:lastPrinted>2020-11-06T08:15:00Z</cp:lastPrinted>
  <dcterms:created xsi:type="dcterms:W3CDTF">2020-11-08T02:43:00Z</dcterms:created>
  <dcterms:modified xsi:type="dcterms:W3CDTF">2020-11-07T02:42:00Z</dcterms:modified>
</cp:coreProperties>
</file>